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pStyle w:val="FirstParagraph"/>
      </w:pPr>
      <w:r>
        <w:t xml:space="preserve">** Current address: Decision and Infrastructure Sciences, Argonne National Laboratory; Lamont, IL.</w:t>
      </w:r>
    </w:p>
    <w:p>
      <w:pPr>
        <w:numPr>
          <w:ilvl w:val="0"/>
          <w:numId w:val="1002"/>
        </w:numPr>
      </w:pPr>
      <w:r>
        <w:t xml:space="preserve">Department of Geography &amp; Environmental Studies, University of New Mexico; Albuquerque, NM 87131 USA</w:t>
      </w:r>
    </w:p>
    <w:p>
      <w:pPr>
        <w:numPr>
          <w:ilvl w:val="0"/>
          <w:numId w:val="1002"/>
        </w:numPr>
      </w:pPr>
      <w:r>
        <w:t xml:space="preserve">Biology Department, Wilfrid Laurier University, 75 University Ave W, Waterloo, ON, N2L 3C5</w:t>
      </w:r>
    </w:p>
    <w:p>
      <w:pPr>
        <w:numPr>
          <w:ilvl w:val="0"/>
          <w:numId w:val="1002"/>
        </w:numPr>
      </w:pPr>
      <w:r>
        <w:t xml:space="preserve">School of Natural Resources, University of Nebraska-Lincoln, Lincoln, NE 68588-0118, USA</w:t>
      </w:r>
    </w:p>
    <w:p>
      <w:pPr>
        <w:numPr>
          <w:ilvl w:val="0"/>
          <w:numId w:val="1002"/>
        </w:numPr>
      </w:pPr>
      <w:r>
        <w:t xml:space="preserve">School of Ecosystem and Forest Sciences, University of Melbourne, Richmond VIC 3121, Australia</w:t>
      </w:r>
    </w:p>
    <w:p>
      <w:pPr>
        <w:numPr>
          <w:ilvl w:val="0"/>
          <w:numId w:val="1002"/>
        </w:numPr>
      </w:pPr>
      <w:r>
        <w:t xml:space="preserve">University of Alberta; Edmonton, Alberta, Canada</w:t>
      </w:r>
    </w:p>
    <w:p>
      <w:pPr>
        <w:numPr>
          <w:ilvl w:val="0"/>
          <w:numId w:val="1002"/>
        </w:numPr>
      </w:pPr>
      <w:r>
        <w:t xml:space="preserve">National Parks Wildlife and Plant Conservation Department, Chatuchak, Bangkok 10900, Thailand</w:t>
      </w:r>
    </w:p>
    <w:p>
      <w:pPr>
        <w:numPr>
          <w:ilvl w:val="0"/>
          <w:numId w:val="1002"/>
        </w:numPr>
      </w:pPr>
      <w:r>
        <w:t xml:space="preserve">Swiss Federal Institute for Forest, Snow and Landscape Research, CH-8903 Birmensdorf, Switzerland</w:t>
      </w:r>
    </w:p>
    <w:p>
      <w:pPr>
        <w:numPr>
          <w:ilvl w:val="0"/>
          <w:numId w:val="1002"/>
        </w:numPr>
      </w:pPr>
      <w:r>
        <w:t xml:space="preserve">Faculty of Forestry, University of British Columbia, Vancouver BC, Canada</w:t>
      </w:r>
    </w:p>
    <w:p>
      <w:pPr>
        <w:numPr>
          <w:ilvl w:val="0"/>
          <w:numId w:val="1002"/>
        </w:numPr>
      </w:pPr>
      <w:r>
        <w:t xml:space="preserve">Department of Forestry, Purdue University, West Lafayette, IN 47907, USA</w:t>
      </w:r>
    </w:p>
    <w:p>
      <w:pPr>
        <w:numPr>
          <w:ilvl w:val="0"/>
          <w:numId w:val="1002"/>
        </w:numPr>
      </w:pPr>
      <w:r>
        <w:t xml:space="preserve">Department of Forest Ecology, The Silva Tarouca Research Institute for Landscape and Ornamental Gardening, Lidická 25/27, 602 00 Brno, Czech Republic</w:t>
      </w:r>
    </w:p>
    <w:p>
      <w:pPr>
        <w:numPr>
          <w:ilvl w:val="0"/>
          <w:numId w:val="1002"/>
        </w:numPr>
      </w:pPr>
      <w:r>
        <w:t xml:space="preserve">S. J. &amp; Jessie E. Quinney College of Natural Resources and the Ecology Center, Utah State University, Logan, UT 84322, USA</w:t>
      </w:r>
    </w:p>
    <w:p>
      <w:pPr>
        <w:numPr>
          <w:ilvl w:val="0"/>
          <w:numId w:val="1002"/>
        </w:numPr>
      </w:pPr>
      <w:r>
        <w:t xml:space="preserve">U.S. Geological Survey, Fort Collins Science Center, New Mexico Landscapes Field Station, Los Alamos, NM 87544, USA</w:t>
      </w:r>
    </w:p>
    <w:p>
      <w:pPr>
        <w:numPr>
          <w:ilvl w:val="0"/>
          <w:numId w:val="1002"/>
        </w:numPr>
      </w:pPr>
      <w:r>
        <w:t xml:space="preserve">Department of Geography, Indiana University, Bloomington, Indiana, USA</w:t>
      </w:r>
    </w:p>
    <w:p>
      <w:pPr>
        <w:numPr>
          <w:ilvl w:val="0"/>
          <w:numId w:val="1002"/>
        </w:numPr>
      </w:pPr>
      <w:r>
        <w:t xml:space="preserve">Smithsonian Environmental Research Center, Edgewater, MD, USA</w:t>
      </w:r>
    </w:p>
    <w:p>
      <w:pPr>
        <w:numPr>
          <w:ilvl w:val="0"/>
          <w:numId w:val="1002"/>
        </w:numPr>
      </w:pPr>
      <w:r>
        <w:t xml:space="preserve">CIRAD, Montpellier, France</w:t>
      </w:r>
    </w:p>
    <w:p>
      <w:pPr>
        <w:numPr>
          <w:ilvl w:val="0"/>
          <w:numId w:val="1002"/>
        </w:numPr>
      </w:pPr>
      <w:r>
        <w:t xml:space="preserve">School of Biological Sciences, University of Nebraska-Lincoln, USA 68588</w:t>
      </w:r>
    </w:p>
    <w:p>
      <w:pPr>
        <w:numPr>
          <w:ilvl w:val="0"/>
          <w:numId w:val="1002"/>
        </w:numPr>
      </w:pPr>
      <w:r>
        <w:t xml:space="preserve">Center for Plant Science Innovation, University of Nebraska – Lincoln, USA 68588</w:t>
      </w:r>
    </w:p>
    <w:p>
      <w:pPr>
        <w:numPr>
          <w:ilvl w:val="0"/>
          <w:numId w:val="1002"/>
        </w:numPr>
      </w:pPr>
      <w:r>
        <w:t xml:space="preserve">Canadian Forest Service, Northern Forestry Centre, Edmonton, Alberta, Canada</w:t>
      </w:r>
    </w:p>
    <w:p>
      <w:pPr>
        <w:numPr>
          <w:ilvl w:val="0"/>
          <w:numId w:val="1002"/>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(Au et al., 2020; 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 growth or stand productivity.</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(Carrer, 2011; 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 stand productivity.</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 Woodhouse, 1999)</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 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not the first focus for sampling.</w:t>
      </w:r>
      <w:r>
        <w:t xml:space="preserve"> </w:t>
      </w:r>
      <w:r>
        <w:t xml:space="preserve">Many worked around the non-linearity issues by sampling at sites with characteristics that result in trees being more climate-limited, though not all</w:t>
      </w:r>
      <w:r>
        <w:t xml:space="preserve"> </w:t>
      </w:r>
      <w:r>
        <w:t xml:space="preserve">(E. R. Cook, 1982)</w:t>
      </w:r>
      <w:r>
        <w:t xml:space="preserve">.</w:t>
      </w:r>
      <w:r>
        <w:t xml:space="preserve"> </w:t>
      </w:r>
      <w:r>
        <w:t xml:space="preserve">Importantly, traditional analysis methods are designed around first-order linear growth-climate relationships</w:t>
      </w:r>
      <w:r>
        <w:t xml:space="preserve"> </w:t>
      </w:r>
      <w:r>
        <w:t xml:space="preserve">(Fritts, 1976)</w:t>
      </w:r>
      <w:r>
        <w:t xml:space="preserve">.</w:t>
      </w:r>
      <w:r>
        <w:t xml:space="preserve"> </w:t>
      </w:r>
      <w:r>
        <w:rPr>
          <w:iCs/>
          <w:i/>
        </w:rPr>
        <w:t xml:space="preserve">Dendrochronological studies allowing for nonlinear or threshold responses of tree growth to climate are less common</w:t>
      </w:r>
      <w:r>
        <w:rPr>
          <w:iCs/>
          <w:i/>
        </w:rPr>
        <w:t xml:space="preserve"> </w:t>
      </w:r>
      <w:r>
        <w:rPr>
          <w:iCs/>
          <w:i/>
        </w:rPr>
        <w:t xml:space="preserve">(Cavin &amp; Jump, 2017; Edward R. Cook &amp; Johnson, 1989; Ljungqvist et al., 2020; Rollinson et al., 2021; Tolwinski-Ward et al., 2013; Tumajer et al., 2017; Woodhouse, 1999)</w:t>
      </w:r>
      <w:r>
        <w:rPr>
          <w:iCs/>
          <w:i/>
        </w:rPr>
        <w:t xml:space="preserve"> </w:t>
      </w:r>
      <w:r>
        <w:rPr>
          <w:bCs/>
          <w:b/>
          <w:iCs/>
          <w:i/>
        </w:rPr>
        <w:t xml:space="preserve">one could say these were a lot of citation for it to be uncommon. Perhaps make it more clear what aspects are less common?</w:t>
      </w:r>
      <w:r>
        <w:rPr>
          <w:iCs/>
          <w:i/>
        </w:rP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w:t>
      </w:r>
      <w:r>
        <w:t xml:space="preserve"> </w:t>
      </w:r>
      <w:r>
        <w:rPr>
          <w:iCs/>
          <w:i/>
        </w:rPr>
        <w:t xml:space="preserve">along with the influence of stand dynamics in closed-canopy forests</w:t>
      </w:r>
      <w:r>
        <w:rPr>
          <w:iCs/>
          <w:i/>
        </w:rPr>
        <w:t xml:space="preserve"> </w:t>
      </w:r>
      <w:r>
        <w:t xml:space="preserve">, is removed through detrending</w:t>
      </w:r>
      <w:r>
        <w:t xml:space="preserve"> </w:t>
      </w:r>
      <w:r>
        <w:t xml:space="preserve">(Edward R. Cook &amp; Peters, 1997)</w:t>
      </w:r>
      <w:r>
        <w:t xml:space="preserve">.</w:t>
      </w:r>
      <w:r>
        <w:t xml:space="preserve"> </w:t>
      </w:r>
      <w:r>
        <w:t xml:space="preserve">Moreover, many studies constrain sampling to only trees in canopy positions or those that appear to be old</w:t>
      </w:r>
      <w:r>
        <w:t xml:space="preserve"> </w:t>
      </w:r>
      <w:r>
        <w:t xml:space="preserve">(Fritts, 1976; Huckaby et al., 2003; Pederson, 2010)</w:t>
      </w:r>
      <w:r>
        <w:t xml:space="preserve">.</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 stand productivity 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 or canopy position</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 ecosystem productivity,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(DRAFT hypothesis table– needs to be filled in and condensed/ cleaned up)</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sampled trees (Figs. S1-S10).</w:t>
      </w:r>
      <w:r>
        <w:t xml:space="preserve"> </w:t>
      </w:r>
      <w:r>
        <w:t xml:space="preserve">In using this diversity of data sources, we ensured that our approach could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applied allometric equations for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We then used</w:t>
      </w:r>
      <w:r>
        <w:t xml:space="preserve"> </w:t>
      </w:r>
      <w:r>
        <w:rPr>
          <w:iCs/>
          <w:i/>
        </w:rPr>
        <w:t xml:space="preserve">climwin</w:t>
      </w:r>
      <w:r>
        <w:t xml:space="preserve"> </w:t>
      </w:r>
      <w:r>
        <w:t xml:space="preserve">to identify the climate variables that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within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selected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year were real, as opposed to an artifact of inherent covariation between DBH and year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eight of 20 cases, both the optimal climate variable and time window were identical across growth metrics (e.g., Fig. S19).</w:t>
      </w:r>
      <w:r>
        <w:t xml:space="preserve"> </w:t>
      </w:r>
      <w:r>
        <w:t xml:space="preserve">In nine cases,</w:t>
      </w:r>
      <w:r>
        <w:t xml:space="preserve"> </w:t>
      </w:r>
      <w:r>
        <w:rPr>
          <w:iCs/>
          <w:i/>
        </w:rPr>
        <w:t xml:space="preserve">climwin</w:t>
      </w:r>
      <w:r>
        <w:t xml:space="preserve"> </w:t>
      </w:r>
      <w:r>
        <w:t xml:space="preserve">identified the same climate variable and overlapping time windows (e.g., Fig. S20),</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time windows (Fig. S18).</w:t>
      </w:r>
      <w:r>
        <w:t xml:space="preserve"> </w:t>
      </w:r>
      <w:r>
        <w:t xml:space="preserve">In just two cases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time windows and, for precipitation, different variables (PPT and PDF; Figs. S23-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t xml:space="preserve">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site,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3), and</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ZOF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tree growth across multiple forest types and species (Fig. 1), yielding results that are consistent with those that would be obtained using established methods (Figs. 2, S11-S14; Table S5) but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species at HF (Fig. 3).</w:t>
      </w:r>
      <w:r>
        <w:t xml:space="preserve"> </w:t>
      </w:r>
      <w:r>
        <w:t xml:space="preserve">However, the predominantly negative temperature responses (Fig. 3) imply that warmer temperatures are likely to reduce growth at most of the sites analyzed here, in large part by exacerbating observed water limitations (</w:t>
      </w:r>
      <w:r>
        <w:rPr>
          <w:bCs/>
          <w:b/>
        </w:rPr>
        <w:t xml:space="preserve">REFS</w:t>
      </w:r>
      <w:r>
        <w:t xml:space="preserve">).</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 (</w:t>
      </w:r>
      <w:r>
        <w:rPr>
          <w:bCs/>
          <w:b/>
        </w:rPr>
        <w:t xml:space="preserve">REFS (NEIL)</w:t>
      </w:r>
      <w:r>
        <w:t xml:space="preserve">).</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by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w:t>
      </w:r>
      <w:r>
        <w:rPr>
          <w:bCs/>
          <w:b/>
        </w:rPr>
        <w:t xml:space="preserve">REFS</w:t>
      </w:r>
      <w:r>
        <w:t xml:space="preserve">,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closed-canopy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(Fig. 5) are more properly attributed to the effect of year than DBH.</w:t>
      </w:r>
    </w:p>
    <w:bookmarkEnd w:id="52"/>
    <w:bookmarkStart w:id="53" w:name="Changing"/>
    <w:p>
      <w:pPr>
        <w:pStyle w:val="Heading2"/>
      </w:pPr>
      <w:r>
        <w:t xml:space="preserve">Changing growth rates</w:t>
      </w:r>
    </w:p>
    <w:p>
      <w:pPr>
        <w:pStyle w:val="FirstParagraph"/>
      </w:pPr>
      <w:r>
        <w:rPr>
          <w:iCs/>
          <w:i/>
        </w:rPr>
        <w:t xml:space="preserve">Growth rates changed directionally for the majority (73-78%, depending on growth metric) of site-species combinations selected for analysis based on the sampling representation of DBH by yeaar (Fig. 6).</w:t>
      </w:r>
      <w:r>
        <w:t xml:space="preserve"> </w:t>
      </w:r>
      <w:r>
        <w:rPr>
          <w:iCs/>
          <w:i/>
        </w:rP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w:t>
      </w:r>
      <w:r>
        <w:rPr>
          <w:bCs/>
          <w:b/>
        </w:rPr>
        <w:t xml:space="preserve">EG: THESE SENTENCES (and the following) SOUND MORE LIKE RESULTS/ METHODS</w:t>
      </w:r>
      <w:r>
        <w:t xml:space="preserve">)</w:t>
      </w:r>
      <w:r>
        <w:t xml:space="preserve"> </w:t>
      </w:r>
      <w:r>
        <w:t xml:space="preserve">Indeed, in a comparative analysis of several methods commonly used to detect growth trends, an approach</w:t>
      </w:r>
      <w:r>
        <w:t xml:space="preserve"> </w:t>
      </w:r>
      <w:r>
        <w:rPr>
          <w:bCs/>
          <w:b/>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as representative of only the sampled trees, as opposed to all individuals of the species that existed throughout the time frame analyzed.</w:t>
      </w:r>
      <w:r>
        <w:t xml:space="preserve"> </w:t>
      </w:r>
      <w:r>
        <w:t xml:space="preserve">For instance, …</w:t>
      </w:r>
      <w:r>
        <w:t xml:space="preserve"> </w:t>
      </w:r>
      <w:r>
        <w:rPr>
          <w:iCs/>
          <w:i/>
        </w:rPr>
        <w:t xml:space="preserve">give an example/more clear explanation here? (see Camille’s feedback)</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develop oer time,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indirect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w:t>
      </w:r>
      <w:r>
        <w:t xml:space="preserve"> </w:t>
      </w:r>
      <w:r>
        <w:rPr>
          <w:iCs/>
          <w:i/>
        </w:rPr>
        <w:t xml:space="preserve">potentially</w:t>
      </w:r>
      <w:r>
        <w:t xml:space="preserve"> </w:t>
      </w:r>
      <w:r>
        <w:t xml:space="preserve">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(McDowell et al., 2020; Thom et al., 2017)</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310" w:name="References"/>
    <w:p>
      <w:pPr>
        <w:pStyle w:val="Heading1"/>
      </w:pPr>
      <w:r>
        <w:t xml:space="preserve">References</w:t>
      </w:r>
    </w:p>
    <w:bookmarkStart w:id="309"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3"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82">
        <w:r>
          <w:rPr>
            <w:rStyle w:val="Hyperlink"/>
          </w:rPr>
          <w:t xml:space="preserve">https://doi.org/10.1111/gcb.12349</w:t>
        </w:r>
      </w:hyperlink>
    </w:p>
    <w:bookmarkEnd w:id="83"/>
    <w:bookmarkStart w:id="84"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4"/>
    <w:bookmarkStart w:id="8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5">
        <w:r>
          <w:rPr>
            <w:rStyle w:val="Hyperlink"/>
          </w:rPr>
          <w:t xml:space="preserve">https://doi.org/10.1016/j.agrformet.2012.10.010</w:t>
        </w:r>
      </w:hyperlink>
    </w:p>
    <w:bookmarkEnd w:id="86"/>
    <w:bookmarkStart w:id="88"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7">
        <w:r>
          <w:rPr>
            <w:rStyle w:val="Hyperlink"/>
          </w:rPr>
          <w:t xml:space="preserve">https://doi.org/10.1111/gcb.15491</w:t>
        </w:r>
      </w:hyperlink>
    </w:p>
    <w:bookmarkEnd w:id="88"/>
    <w:bookmarkStart w:id="90"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9">
        <w:r>
          <w:rPr>
            <w:rStyle w:val="Hyperlink"/>
          </w:rPr>
          <w:t xml:space="preserve">https://doi.org/10.1038/nplants.2015.139</w:t>
        </w:r>
      </w:hyperlink>
    </w:p>
    <w:bookmarkEnd w:id="90"/>
    <w:bookmarkStart w:id="92"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91">
        <w:r>
          <w:rPr>
            <w:rStyle w:val="Hyperlink"/>
          </w:rPr>
          <w:t xml:space="preserve">https://doi.org/10.3959/2008-6.1</w:t>
        </w:r>
      </w:hyperlink>
    </w:p>
    <w:bookmarkEnd w:id="92"/>
    <w:bookmarkStart w:id="94"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3">
        <w:r>
          <w:rPr>
            <w:rStyle w:val="Hyperlink"/>
          </w:rPr>
          <w:t xml:space="preserve">https://www.ncdc.noaa.gov/paleo-search/study/31995</w:t>
        </w:r>
      </w:hyperlink>
    </w:p>
    <w:bookmarkEnd w:id="94"/>
    <w:bookmarkStart w:id="96"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5">
        <w:r>
          <w:rPr>
            <w:rStyle w:val="Hyperlink"/>
          </w:rPr>
          <w:t xml:space="preserve">https://www.ncdc.noaa.gov/paleo-search/study/31996</w:t>
        </w:r>
      </w:hyperlink>
    </w:p>
    <w:bookmarkEnd w:id="96"/>
    <w:bookmarkStart w:id="98"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7">
        <w:r>
          <w:rPr>
            <w:rStyle w:val="Hyperlink"/>
          </w:rPr>
          <w:t xml:space="preserve">https://www.ncdc.noaa.gov/paleo-search/study/31997</w:t>
        </w:r>
      </w:hyperlink>
    </w:p>
    <w:bookmarkEnd w:id="98"/>
    <w:bookmarkStart w:id="10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9">
        <w:r>
          <w:rPr>
            <w:rStyle w:val="Hyperlink"/>
          </w:rPr>
          <w:t xml:space="preserve">https://doi.org/10.1016/j.tplants.2012.08.005</w:t>
        </w:r>
      </w:hyperlink>
    </w:p>
    <w:bookmarkEnd w:id="100"/>
    <w:bookmarkStart w:id="10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101">
        <w:r>
          <w:rPr>
            <w:rStyle w:val="Hyperlink"/>
          </w:rPr>
          <w:t xml:space="preserve">https://doi.org/10.1078/1125-7865-00017</w:t>
        </w:r>
      </w:hyperlink>
    </w:p>
    <w:bookmarkEnd w:id="102"/>
    <w:bookmarkStart w:id="10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3">
        <w:r>
          <w:rPr>
            <w:rStyle w:val="Hyperlink"/>
          </w:rPr>
          <w:t xml:space="preserve">https://doi.org/10.1029/2011GB004143</w:t>
        </w:r>
      </w:hyperlink>
    </w:p>
    <w:bookmarkEnd w:id="104"/>
    <w:bookmarkStart w:id="10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5">
        <w:r>
          <w:rPr>
            <w:rStyle w:val="Hyperlink"/>
          </w:rPr>
          <w:t xml:space="preserve">https://doi.org/10.1111/gcb.13410</w:t>
        </w:r>
      </w:hyperlink>
    </w:p>
    <w:bookmarkEnd w:id="106"/>
    <w:bookmarkStart w:id="10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7">
        <w:r>
          <w:rPr>
            <w:rStyle w:val="Hyperlink"/>
          </w:rPr>
          <w:t xml:space="preserve">https://doi.org/10.1139/cjfr-2018-0206</w:t>
        </w:r>
      </w:hyperlink>
    </w:p>
    <w:bookmarkEnd w:id="108"/>
    <w:bookmarkStart w:id="11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9">
        <w:r>
          <w:rPr>
            <w:rStyle w:val="Hyperlink"/>
          </w:rPr>
          <w:t xml:space="preserve">https://doi.org/10.1126/science.1197175</w:t>
        </w:r>
      </w:hyperlink>
    </w:p>
    <w:bookmarkEnd w:id="110"/>
    <w:bookmarkStart w:id="11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11">
        <w:r>
          <w:rPr>
            <w:rStyle w:val="Hyperlink"/>
          </w:rPr>
          <w:t xml:space="preserve">https://doi.org/10.1111/gcb.13535</w:t>
        </w:r>
      </w:hyperlink>
    </w:p>
    <w:bookmarkEnd w:id="112"/>
    <w:bookmarkStart w:id="114" w:name="ref-carrer_individualistic_2011"/>
    <w:p>
      <w:pPr>
        <w:pStyle w:val="Bibliography"/>
      </w:pPr>
      <w:r>
        <w:t xml:space="preserve">Carrer, M. (2011). Individualistic and</w:t>
      </w:r>
      <w:r>
        <w:t xml:space="preserve"> </w:t>
      </w:r>
      <w:r>
        <w:t xml:space="preserve">Time</w:t>
      </w:r>
      <w:r>
        <w:t xml:space="preserve">-</w:t>
      </w:r>
      <w:r>
        <w:t xml:space="preserve">Varying Tree</w:t>
      </w:r>
      <w:r>
        <w:t xml:space="preserve">-</w:t>
      </w:r>
      <w:r>
        <w:t xml:space="preserve">Ring Growth</w:t>
      </w:r>
      <w:r>
        <w:t xml:space="preserve"> </w:t>
      </w:r>
      <w:r>
        <w:t xml:space="preserve">to</w:t>
      </w:r>
      <w:r>
        <w:t xml:space="preserve"> </w:t>
      </w:r>
      <w:r>
        <w:t xml:space="preserve">Climate Sensitivity</w:t>
      </w:r>
      <w:r>
        <w:t xml:space="preserve">.</w:t>
      </w:r>
      <w:r>
        <w:t xml:space="preserve"> </w:t>
      </w:r>
      <w:r>
        <w:rPr>
          <w:iCs/>
          <w:i/>
        </w:rPr>
        <w:t xml:space="preserve">PLOS ONE</w:t>
      </w:r>
      <w:r>
        <w:t xml:space="preserve">,</w:t>
      </w:r>
      <w:r>
        <w:t xml:space="preserve"> </w:t>
      </w:r>
      <w:r>
        <w:rPr>
          <w:iCs/>
          <w:i/>
        </w:rPr>
        <w:t xml:space="preserve">6</w:t>
      </w:r>
      <w:r>
        <w:t xml:space="preserve">(7), e22813.</w:t>
      </w:r>
      <w:r>
        <w:t xml:space="preserve"> </w:t>
      </w:r>
      <w:hyperlink r:id="rId113">
        <w:r>
          <w:rPr>
            <w:rStyle w:val="Hyperlink"/>
          </w:rPr>
          <w:t xml:space="preserve">https://doi.org/10.1371/journal.pone.0022813</w:t>
        </w:r>
      </w:hyperlink>
    </w:p>
    <w:bookmarkEnd w:id="114"/>
    <w:bookmarkStart w:id="116"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5">
        <w:r>
          <w:rPr>
            <w:rStyle w:val="Hyperlink"/>
          </w:rPr>
          <w:t xml:space="preserve">https://doi.org/10.1111/gcb.13366</w:t>
        </w:r>
      </w:hyperlink>
    </w:p>
    <w:bookmarkEnd w:id="116"/>
    <w:bookmarkStart w:id="118"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7">
        <w:r>
          <w:rPr>
            <w:rStyle w:val="Hyperlink"/>
          </w:rPr>
          <w:t xml:space="preserve">https://doi.org/10.1111/ele.12650</w:t>
        </w:r>
      </w:hyperlink>
    </w:p>
    <w:bookmarkEnd w:id="118"/>
    <w:bookmarkStart w:id="120"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9">
        <w:r>
          <w:rPr>
            <w:rStyle w:val="Hyperlink"/>
          </w:rPr>
          <w:t xml:space="preserve">https://doi.org/10.1016/S0378-1127(98)00242-4</w:t>
        </w:r>
      </w:hyperlink>
    </w:p>
    <w:bookmarkEnd w:id="120"/>
    <w:bookmarkStart w:id="122" w:name="ref-cook_treering_1982"/>
    <w:p>
      <w:pPr>
        <w:pStyle w:val="Bibliography"/>
      </w:pPr>
      <w:r>
        <w:t xml:space="preserve">Cook, E. R. (1982). Tree-ring data networks: comment. In M. K. Hughes, P. M. Kelly, J. R. Pilcher, &amp; V. C. LaMarche Jr. (Eds.),</w:t>
      </w:r>
      <w:r>
        <w:t xml:space="preserve"> </w:t>
      </w:r>
      <w:r>
        <w:rPr>
          <w:iCs/>
          <w:i/>
        </w:rPr>
        <w:t xml:space="preserve">Climate from</w:t>
      </w:r>
      <w:r>
        <w:rPr>
          <w:iCs/>
          <w:i/>
        </w:rPr>
        <w:t xml:space="preserve"> </w:t>
      </w:r>
      <w:r>
        <w:rPr>
          <w:iCs/>
          <w:i/>
        </w:rPr>
        <w:t xml:space="preserve">Tree Rings</w:t>
      </w:r>
      <w:r>
        <w:t xml:space="preserve"> </w:t>
      </w:r>
      <w:r>
        <w:t xml:space="preserve">(First, pp. 1–31).</w:t>
      </w:r>
      <w:r>
        <w:t xml:space="preserve"> </w:t>
      </w:r>
      <w:r>
        <w:t xml:space="preserve">Cambridge University Press</w:t>
      </w:r>
      <w:r>
        <w:t xml:space="preserve">.</w:t>
      </w:r>
      <w:r>
        <w:t xml:space="preserve"> </w:t>
      </w:r>
      <w:hyperlink r:id="rId121">
        <w:r>
          <w:rPr>
            <w:rStyle w:val="Hyperlink"/>
          </w:rPr>
          <w:t xml:space="preserve">https://doi.org/10.1017/CBO9780511760006.002</w:t>
        </w:r>
      </w:hyperlink>
    </w:p>
    <w:bookmarkEnd w:id="122"/>
    <w:bookmarkStart w:id="124" w:name="ref-cook_climate_1989"/>
    <w:p>
      <w:pPr>
        <w:pStyle w:val="Bibliography"/>
      </w:pPr>
      <w:r>
        <w:t xml:space="preserve">Cook, Edward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23">
        <w:r>
          <w:rPr>
            <w:rStyle w:val="Hyperlink"/>
          </w:rPr>
          <w:t xml:space="preserve">https://doi.org/10.1007/BF00282374</w:t>
        </w:r>
      </w:hyperlink>
    </w:p>
    <w:bookmarkEnd w:id="124"/>
    <w:bookmarkStart w:id="126" w:name="ref-cook_calculating_1997"/>
    <w:p>
      <w:pPr>
        <w:pStyle w:val="Bibliography"/>
      </w:pPr>
      <w:r>
        <w:t xml:space="preserve">Cook, Edward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25">
        <w:r>
          <w:rPr>
            <w:rStyle w:val="Hyperlink"/>
          </w:rPr>
          <w:t xml:space="preserve">https://doi.org/10.1177/095968369700700314</w:t>
        </w:r>
      </w:hyperlink>
    </w:p>
    <w:bookmarkEnd w:id="126"/>
    <w:bookmarkStart w:id="12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7">
        <w:r>
          <w:rPr>
            <w:rStyle w:val="Hyperlink"/>
          </w:rPr>
          <w:t xml:space="preserve">https://doi.org/10.1016/j.biocon.2020.108907</w:t>
        </w:r>
      </w:hyperlink>
    </w:p>
    <w:bookmarkEnd w:id="128"/>
    <w:bookmarkStart w:id="13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9">
        <w:r>
          <w:rPr>
            <w:rStyle w:val="Hyperlink"/>
          </w:rPr>
          <w:t xml:space="preserve">https://doi.org/10.1016/j.foreco.2009.08.009</w:t>
        </w:r>
      </w:hyperlink>
    </w:p>
    <w:bookmarkEnd w:id="130"/>
    <w:bookmarkStart w:id="13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31">
        <w:r>
          <w:rPr>
            <w:rStyle w:val="Hyperlink"/>
          </w:rPr>
          <w:t xml:space="preserve">https://doi.org/10.1111/1365-2745.13569</w:t>
        </w:r>
      </w:hyperlink>
    </w:p>
    <w:bookmarkEnd w:id="132"/>
    <w:bookmarkStart w:id="13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33">
        <w:r>
          <w:rPr>
            <w:rStyle w:val="Hyperlink"/>
          </w:rPr>
          <w:t xml:space="preserve">https://doi.org/10.1038/s41467-020-14300-5</w:t>
        </w:r>
      </w:hyperlink>
    </w:p>
    <w:bookmarkEnd w:id="134"/>
    <w:bookmarkStart w:id="136"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5">
        <w:r>
          <w:rPr>
            <w:rStyle w:val="Hyperlink"/>
          </w:rPr>
          <w:t xml:space="preserve">https://doi.org/10.1002/ecs2.1454</w:t>
        </w:r>
      </w:hyperlink>
    </w:p>
    <w:bookmarkEnd w:id="136"/>
    <w:bookmarkStart w:id="138"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7">
        <w:r>
          <w:rPr>
            <w:rStyle w:val="Hyperlink"/>
          </w:rPr>
          <w:t xml:space="preserve">https://doi.org/10.1016/j.foreco.2008.10.014</w:t>
        </w:r>
      </w:hyperlink>
    </w:p>
    <w:bookmarkEnd w:id="138"/>
    <w:bookmarkStart w:id="140"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9">
        <w:r>
          <w:rPr>
            <w:rStyle w:val="Hyperlink"/>
          </w:rPr>
          <w:t xml:space="preserve">https://doi.org/10.1126/science.1066360</w:t>
        </w:r>
      </w:hyperlink>
    </w:p>
    <w:bookmarkEnd w:id="140"/>
    <w:bookmarkStart w:id="142"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41">
        <w:r>
          <w:rPr>
            <w:rStyle w:val="Hyperlink"/>
          </w:rPr>
          <w:t xml:space="preserve">https://doi.org/10.1007/s10584-009-9594-2</w:t>
        </w:r>
      </w:hyperlink>
    </w:p>
    <w:bookmarkEnd w:id="142"/>
    <w:bookmarkStart w:id="144"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43">
        <w:r>
          <w:rPr>
            <w:rStyle w:val="Hyperlink"/>
          </w:rPr>
          <w:t xml:space="preserve">https://doi.org/10.1002/ecs2.1889</w:t>
        </w:r>
      </w:hyperlink>
    </w:p>
    <w:bookmarkEnd w:id="144"/>
    <w:bookmarkStart w:id="14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45">
        <w:r>
          <w:rPr>
            <w:rStyle w:val="Hyperlink"/>
          </w:rPr>
          <w:t xml:space="preserve">https://doi.org/10.1002/ecm.1423</w:t>
        </w:r>
      </w:hyperlink>
    </w:p>
    <w:bookmarkEnd w:id="146"/>
    <w:bookmarkStart w:id="148"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7">
        <w:r>
          <w:rPr>
            <w:rStyle w:val="Hyperlink"/>
          </w:rPr>
          <w:t xml:space="preserve">https://doi.org/10.1016/j.foreco.2020.118717</w:t>
        </w:r>
      </w:hyperlink>
    </w:p>
    <w:bookmarkEnd w:id="148"/>
    <w:bookmarkStart w:id="150"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9">
        <w:r>
          <w:rPr>
            <w:rStyle w:val="Hyperlink"/>
          </w:rPr>
          <w:t xml:space="preserve">https://doi.org/10.1111/gcb.13208</w:t>
        </w:r>
      </w:hyperlink>
    </w:p>
    <w:bookmarkEnd w:id="150"/>
    <w:bookmarkStart w:id="151"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51"/>
    <w:bookmarkStart w:id="153"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52">
        <w:r>
          <w:rPr>
            <w:rStyle w:val="Hyperlink"/>
          </w:rPr>
          <w:t xml:space="preserve">https://doi.org/10.1016/S0065-2504(08)60158-0</w:t>
        </w:r>
      </w:hyperlink>
    </w:p>
    <w:bookmarkEnd w:id="153"/>
    <w:bookmarkStart w:id="155"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54">
        <w:r>
          <w:rPr>
            <w:rStyle w:val="Hyperlink"/>
          </w:rPr>
          <w:t xml:space="preserve">https://doi.org/10.1002/ecs2.1847</w:t>
        </w:r>
      </w:hyperlink>
    </w:p>
    <w:bookmarkEnd w:id="155"/>
    <w:bookmarkStart w:id="157"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6">
        <w:r>
          <w:rPr>
            <w:rStyle w:val="Hyperlink"/>
          </w:rPr>
          <w:t xml:space="preserve">https://doi.org/10.1007/s10584-020-02868-2</w:t>
        </w:r>
      </w:hyperlink>
    </w:p>
    <w:bookmarkEnd w:id="157"/>
    <w:bookmarkStart w:id="159"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8">
        <w:r>
          <w:rPr>
            <w:rStyle w:val="Hyperlink"/>
          </w:rPr>
          <w:t xml:space="preserve">https://doi.org/10.1007/s10021-020-00501-y</w:t>
        </w:r>
      </w:hyperlink>
    </w:p>
    <w:bookmarkEnd w:id="159"/>
    <w:bookmarkStart w:id="161"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60">
        <w:r>
          <w:rPr>
            <w:rStyle w:val="Hyperlink"/>
          </w:rPr>
          <w:t xml:space="preserve">https://doi.org/10.1073/pnas.1610156113</w:t>
        </w:r>
      </w:hyperlink>
    </w:p>
    <w:bookmarkEnd w:id="161"/>
    <w:bookmarkStart w:id="162"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62"/>
    <w:bookmarkStart w:id="164"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63">
        <w:r>
          <w:rPr>
            <w:rStyle w:val="Hyperlink"/>
          </w:rPr>
          <w:t xml:space="preserve">https://doi.org/10.2307/1937545</w:t>
        </w:r>
      </w:hyperlink>
    </w:p>
    <w:bookmarkEnd w:id="164"/>
    <w:bookmarkStart w:id="166"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65">
        <w:r>
          <w:rPr>
            <w:rStyle w:val="Hyperlink"/>
          </w:rPr>
          <w:t xml:space="preserve">https://doi.org/10.1111/gcb.12955</w:t>
        </w:r>
      </w:hyperlink>
    </w:p>
    <w:bookmarkEnd w:id="166"/>
    <w:bookmarkStart w:id="168"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7">
        <w:r>
          <w:rPr>
            <w:rStyle w:val="Hyperlink"/>
          </w:rPr>
          <w:t xml:space="preserve">https://doi.org/10.1007/s10342-016-0982-7</w:t>
        </w:r>
      </w:hyperlink>
    </w:p>
    <w:bookmarkEnd w:id="168"/>
    <w:bookmarkStart w:id="170"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9">
        <w:r>
          <w:rPr>
            <w:rStyle w:val="Hyperlink"/>
          </w:rPr>
          <w:t xml:space="preserve">https://doi.org/10.1111/gcb.14561</w:t>
        </w:r>
      </w:hyperlink>
    </w:p>
    <w:bookmarkEnd w:id="170"/>
    <w:bookmarkStart w:id="172"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71">
        <w:r>
          <w:rPr>
            <w:rStyle w:val="Hyperlink"/>
          </w:rPr>
          <w:t xml:space="preserve">https://doi.org/10.1002/joc.3711</w:t>
        </w:r>
      </w:hyperlink>
    </w:p>
    <w:bookmarkEnd w:id="172"/>
    <w:bookmarkStart w:id="174"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73">
        <w:r>
          <w:rPr>
            <w:rStyle w:val="Hyperlink"/>
          </w:rPr>
          <w:t xml:space="preserve">https://doi.org/10.1038/s41597-020-0453-3</w:t>
        </w:r>
      </w:hyperlink>
    </w:p>
    <w:bookmarkEnd w:id="174"/>
    <w:bookmarkStart w:id="17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75">
        <w:r>
          <w:rPr>
            <w:rStyle w:val="Hyperlink"/>
          </w:rPr>
          <w:t xml:space="preserve">https://doi.org/10.1111/nph.15906</w:t>
        </w:r>
      </w:hyperlink>
    </w:p>
    <w:bookmarkEnd w:id="176"/>
    <w:bookmarkStart w:id="178"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7">
        <w:r>
          <w:rPr>
            <w:rStyle w:val="Hyperlink"/>
          </w:rPr>
          <w:t xml:space="preserve">https://doi.org/10.1029/2018JG004573</w:t>
        </w:r>
      </w:hyperlink>
    </w:p>
    <w:bookmarkEnd w:id="178"/>
    <w:bookmarkStart w:id="180"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9">
        <w:r>
          <w:rPr>
            <w:rStyle w:val="Hyperlink"/>
          </w:rPr>
          <w:t xml:space="preserve">https://doi.org/10.1111/jbi.13199</w:t>
        </w:r>
      </w:hyperlink>
    </w:p>
    <w:bookmarkEnd w:id="180"/>
    <w:bookmarkStart w:id="182" w:name="ref-huckaby_identification_2003"/>
    <w:p>
      <w:pPr>
        <w:pStyle w:val="Bibliography"/>
      </w:pPr>
      <w:r>
        <w:t xml:space="preserve">Huckaby, L. S., Kaufmann, M. R., Fornwalt, P. J., Stoker, J. M., &amp; Dennis, C. (2003). Identification and ecology of old ponderosa pine trees in the</w:t>
      </w:r>
      <w:r>
        <w:t xml:space="preserve"> </w:t>
      </w:r>
      <w:r>
        <w:t xml:space="preserve">Colorado Front Range</w:t>
      </w:r>
      <w:r>
        <w:t xml:space="preserve">.</w:t>
      </w:r>
      <w:r>
        <w:t xml:space="preserve"> </w:t>
      </w:r>
      <w:r>
        <w:rPr>
          <w:iCs/>
          <w:i/>
        </w:rPr>
        <w:t xml:space="preserve">Gen. Tech. Rep. RMRS-GTR-110. Fort Collins, CO: U.S. Department of Agriculture, Forest Service, Rocky Mountain Research Station. 47 p.</w:t>
      </w:r>
      <w:r>
        <w:t xml:space="preserve">,</w:t>
      </w:r>
      <w:r>
        <w:t xml:space="preserve"> </w:t>
      </w:r>
      <w:r>
        <w:rPr>
          <w:iCs/>
          <w:i/>
        </w:rPr>
        <w:t xml:space="preserve">110</w:t>
      </w:r>
      <w:r>
        <w:t xml:space="preserve">.</w:t>
      </w:r>
      <w:r>
        <w:t xml:space="preserve"> </w:t>
      </w:r>
      <w:hyperlink r:id="rId181">
        <w:r>
          <w:rPr>
            <w:rStyle w:val="Hyperlink"/>
          </w:rPr>
          <w:t xml:space="preserve">https://doi.org/10.2737/RMRS-GTR-110</w:t>
        </w:r>
      </w:hyperlink>
    </w:p>
    <w:bookmarkEnd w:id="182"/>
    <w:bookmarkStart w:id="184"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83">
        <w:r>
          <w:rPr>
            <w:rStyle w:val="Hyperlink"/>
          </w:rPr>
          <w:t xml:space="preserve">https://doi.org/10.1088/1748-9326/abd8fb</w:t>
        </w:r>
      </w:hyperlink>
    </w:p>
    <w:bookmarkEnd w:id="184"/>
    <w:bookmarkStart w:id="18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85">
        <w:r>
          <w:rPr>
            <w:rStyle w:val="Hyperlink"/>
          </w:rPr>
          <w:t xml:space="preserve">https://doi.org/10.1038/s41467-018-07800-y</w:t>
        </w:r>
      </w:hyperlink>
    </w:p>
    <w:bookmarkEnd w:id="186"/>
    <w:bookmarkStart w:id="18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87">
        <w:r>
          <w:rPr>
            <w:rStyle w:val="Hyperlink"/>
          </w:rPr>
          <w:t xml:space="preserve">https://doi.org/10.1093/treephys/tpaa091</w:t>
        </w:r>
      </w:hyperlink>
    </w:p>
    <w:bookmarkEnd w:id="188"/>
    <w:bookmarkStart w:id="19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9">
        <w:r>
          <w:rPr>
            <w:rStyle w:val="Hyperlink"/>
          </w:rPr>
          <w:t xml:space="preserve">https://doi.org/10.1111/nph.15668</w:t>
        </w:r>
      </w:hyperlink>
    </w:p>
    <w:bookmarkEnd w:id="190"/>
    <w:bookmarkStart w:id="19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91">
        <w:r>
          <w:rPr>
            <w:rStyle w:val="Hyperlink"/>
          </w:rPr>
          <w:t xml:space="preserve">https://doi.org/10.1038/srep46158</w:t>
        </w:r>
      </w:hyperlink>
    </w:p>
    <w:bookmarkEnd w:id="192"/>
    <w:bookmarkStart w:id="19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93">
        <w:r>
          <w:rPr>
            <w:rStyle w:val="Hyperlink"/>
          </w:rPr>
          <w:t xml:space="preserve">https://doi.org/10.1016/j.dendro.2019.125652</w:t>
        </w:r>
      </w:hyperlink>
    </w:p>
    <w:bookmarkEnd w:id="194"/>
    <w:bookmarkStart w:id="19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95">
        <w:r>
          <w:rPr>
            <w:rStyle w:val="Hyperlink"/>
          </w:rPr>
          <w:t xml:space="preserve">https://doi.org/10.1139/x89-102</w:t>
        </w:r>
      </w:hyperlink>
    </w:p>
    <w:bookmarkEnd w:id="196"/>
    <w:bookmarkStart w:id="19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97">
        <w:r>
          <w:rPr>
            <w:rStyle w:val="Hyperlink"/>
          </w:rPr>
          <w:t xml:space="preserve">https://doi.org/10.2307/1941026</w:t>
        </w:r>
      </w:hyperlink>
    </w:p>
    <w:bookmarkEnd w:id="198"/>
    <w:bookmarkStart w:id="200"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9">
        <w:r>
          <w:rPr>
            <w:rStyle w:val="Hyperlink"/>
          </w:rPr>
          <w:t xml:space="preserve">https://doi.org/10.1016/j.foreco.2009.03.009</w:t>
        </w:r>
      </w:hyperlink>
    </w:p>
    <w:bookmarkEnd w:id="200"/>
    <w:bookmarkStart w:id="202"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201">
        <w:r>
          <w:rPr>
            <w:rStyle w:val="Hyperlink"/>
          </w:rPr>
          <w:t xml:space="preserve">https://doi.org/10.1111/gcb.14273</w:t>
        </w:r>
      </w:hyperlink>
    </w:p>
    <w:bookmarkEnd w:id="202"/>
    <w:bookmarkStart w:id="204"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203">
        <w:r>
          <w:rPr>
            <w:rStyle w:val="Hyperlink"/>
          </w:rPr>
          <w:t xml:space="preserve">https://doi.org/10.1029/2019JG005298</w:t>
        </w:r>
      </w:hyperlink>
    </w:p>
    <w:bookmarkEnd w:id="204"/>
    <w:bookmarkStart w:id="206"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205">
        <w:r>
          <w:rPr>
            <w:rStyle w:val="Hyperlink"/>
          </w:rPr>
          <w:t xml:space="preserve">https://doi.org/10.1007/s10584-016-1720-3</w:t>
        </w:r>
      </w:hyperlink>
    </w:p>
    <w:bookmarkEnd w:id="206"/>
    <w:bookmarkStart w:id="20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207">
        <w:r>
          <w:rPr>
            <w:rStyle w:val="Hyperlink"/>
          </w:rPr>
          <w:t xml:space="preserve">https://doi.org/10.1126/science.aaz9463</w:t>
        </w:r>
      </w:hyperlink>
    </w:p>
    <w:bookmarkEnd w:id="208"/>
    <w:bookmarkStart w:id="21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9">
        <w:r>
          <w:rPr>
            <w:rStyle w:val="Hyperlink"/>
          </w:rPr>
          <w:t xml:space="preserve">https://doi.org/10.1111/nph.16996</w:t>
        </w:r>
      </w:hyperlink>
    </w:p>
    <w:bookmarkEnd w:id="210"/>
    <w:bookmarkStart w:id="21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11">
        <w:r>
          <w:rPr>
            <w:rStyle w:val="Hyperlink"/>
          </w:rPr>
          <w:t xml:space="preserve">https://doi.org/10.1111/nph.14633</w:t>
        </w:r>
      </w:hyperlink>
    </w:p>
    <w:bookmarkEnd w:id="212"/>
    <w:bookmarkStart w:id="214"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13">
        <w:r>
          <w:rPr>
            <w:rStyle w:val="Hyperlink"/>
          </w:rPr>
          <w:t xml:space="preserve">https://doi.org/10.1016/j.cageo.2011.01.013</w:t>
        </w:r>
      </w:hyperlink>
    </w:p>
    <w:bookmarkEnd w:id="214"/>
    <w:bookmarkStart w:id="21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15"/>
    <w:bookmarkStart w:id="217"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16">
        <w:r>
          <w:rPr>
            <w:rStyle w:val="Hyperlink"/>
          </w:rPr>
          <w:t xml:space="preserve">https://doi.org/10.1111/j.1600-0587.2013.00205.x</w:t>
        </w:r>
      </w:hyperlink>
    </w:p>
    <w:bookmarkEnd w:id="217"/>
    <w:bookmarkStart w:id="21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8">
        <w:r>
          <w:rPr>
            <w:rStyle w:val="Hyperlink"/>
          </w:rPr>
          <w:t xml:space="preserve">https://doi.org/10.1111/gcb.12599</w:t>
        </w:r>
      </w:hyperlink>
    </w:p>
    <w:bookmarkEnd w:id="219"/>
    <w:bookmarkStart w:id="221"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20">
        <w:r>
          <w:rPr>
            <w:rStyle w:val="Hyperlink"/>
          </w:rPr>
          <w:t xml:space="preserve">https://doi.org/10.1017/S1464793104006499</w:t>
        </w:r>
      </w:hyperlink>
    </w:p>
    <w:bookmarkEnd w:id="221"/>
    <w:bookmarkStart w:id="22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22">
        <w:r>
          <w:rPr>
            <w:rStyle w:val="Hyperlink"/>
          </w:rPr>
          <w:t xml:space="preserve">https://doi.org/10.1111/j.1365-2486.2010.02222.x</w:t>
        </w:r>
      </w:hyperlink>
    </w:p>
    <w:bookmarkEnd w:id="223"/>
    <w:bookmarkStart w:id="224"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24"/>
    <w:bookmarkStart w:id="226" w:name="ref-pederson_external_2010"/>
    <w:p>
      <w:pPr>
        <w:pStyle w:val="Bibliography"/>
      </w:pPr>
      <w:r>
        <w:t xml:space="preserve">Pederson, N. (2010). External</w:t>
      </w:r>
      <w:r>
        <w:t xml:space="preserve"> </w:t>
      </w:r>
      <w:r>
        <w:t xml:space="preserve">Characteristics</w:t>
      </w:r>
      <w:r>
        <w:t xml:space="preserve"> </w:t>
      </w:r>
      <w:r>
        <w:t xml:space="preserve">of</w:t>
      </w:r>
      <w:r>
        <w:t xml:space="preserve"> </w:t>
      </w:r>
      <w:r>
        <w:t xml:space="preserve">Old Trees</w:t>
      </w:r>
      <w:r>
        <w:t xml:space="preserve"> </w:t>
      </w:r>
      <w:r>
        <w:t xml:space="preserve">in the</w:t>
      </w:r>
      <w:r>
        <w:t xml:space="preserve"> </w:t>
      </w:r>
      <w:r>
        <w:t xml:space="preserve">Eastern Deciduous Forest</w:t>
      </w:r>
      <w:r>
        <w:t xml:space="preserve">.</w:t>
      </w:r>
      <w:r>
        <w:t xml:space="preserve"> </w:t>
      </w:r>
      <w:r>
        <w:rPr>
          <w:iCs/>
          <w:i/>
        </w:rPr>
        <w:t xml:space="preserve">Natural Areas Journal</w:t>
      </w:r>
      <w:r>
        <w:t xml:space="preserve">,</w:t>
      </w:r>
      <w:r>
        <w:t xml:space="preserve"> </w:t>
      </w:r>
      <w:r>
        <w:rPr>
          <w:iCs/>
          <w:i/>
        </w:rPr>
        <w:t xml:space="preserve">30</w:t>
      </w:r>
      <w:r>
        <w:t xml:space="preserve">(4), 396–407.</w:t>
      </w:r>
      <w:r>
        <w:t xml:space="preserve"> </w:t>
      </w:r>
      <w:hyperlink r:id="rId225">
        <w:r>
          <w:rPr>
            <w:rStyle w:val="Hyperlink"/>
          </w:rPr>
          <w:t xml:space="preserve">https://doi.org/10.3375/043.030.0405</w:t>
        </w:r>
      </w:hyperlink>
    </w:p>
    <w:bookmarkEnd w:id="226"/>
    <w:bookmarkStart w:id="22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27">
        <w:r>
          <w:rPr>
            <w:rStyle w:val="Hyperlink"/>
          </w:rPr>
          <w:t xml:space="preserve">https://doi.org/10.3389/ffgc.2020.00039</w:t>
        </w:r>
      </w:hyperlink>
    </w:p>
    <w:bookmarkEnd w:id="228"/>
    <w:bookmarkStart w:id="23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29">
        <w:r>
          <w:rPr>
            <w:rStyle w:val="Hyperlink"/>
          </w:rPr>
          <w:t xml:space="preserve">https://doi.org/10.1111/ele.13575</w:t>
        </w:r>
      </w:hyperlink>
    </w:p>
    <w:bookmarkEnd w:id="230"/>
    <w:bookmarkStart w:id="23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31">
        <w:r>
          <w:rPr>
            <w:rStyle w:val="Hyperlink"/>
          </w:rPr>
          <w:t xml:space="preserve">https://doi.org/10.1111/gcb.12826</w:t>
        </w:r>
      </w:hyperlink>
    </w:p>
    <w:bookmarkEnd w:id="232"/>
    <w:bookmarkStart w:id="233" w:name="ref-pinheiro_nlme_2021"/>
    <w:p>
      <w:pPr>
        <w:pStyle w:val="Bibliography"/>
      </w:pPr>
      <w:r>
        <w:t xml:space="preserve">Pinheiro, J., Bates, D., DebRoy, S., Sarkar, D., EISPACK authors, Heisterkamp, S., Van Willigen, B., Ranke, J., &amp; R-core. (2021).</w:t>
      </w:r>
      <w:r>
        <w:t xml:space="preserve"> </w:t>
      </w:r>
      <w:r>
        <w:rPr>
          <w:iCs/>
          <w:i/>
        </w:rPr>
        <w:t xml:space="preserve">Nlme:</w:t>
      </w:r>
      <w:r>
        <w:rPr>
          <w:iCs/>
          <w:i/>
        </w:rPr>
        <w:t xml:space="preserve"> </w:t>
      </w:r>
      <w:r>
        <w:rPr>
          <w:iCs/>
          <w:i/>
        </w:rPr>
        <w:t xml:space="preserve">Linear</w:t>
      </w:r>
      <w:r>
        <w:rPr>
          <w:iCs/>
          <w:i/>
        </w:rPr>
        <w:t xml:space="preserve"> </w:t>
      </w:r>
      <w:r>
        <w:rPr>
          <w:iCs/>
          <w:i/>
        </w:rPr>
        <w:t xml:space="preserve">and</w:t>
      </w:r>
      <w:r>
        <w:rPr>
          <w:iCs/>
          <w:i/>
        </w:rPr>
        <w:t xml:space="preserve"> </w:t>
      </w:r>
      <w:r>
        <w:rPr>
          <w:iCs/>
          <w:i/>
        </w:rPr>
        <w:t xml:space="preserve">Nonlinear Mixed Effects Models</w:t>
      </w:r>
      <w:r>
        <w:t xml:space="preserve">.</w:t>
      </w:r>
    </w:p>
    <w:bookmarkEnd w:id="233"/>
    <w:bookmarkStart w:id="234"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34"/>
    <w:bookmarkStart w:id="236"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35">
        <w:r>
          <w:rPr>
            <w:rStyle w:val="Hyperlink"/>
          </w:rPr>
          <w:t xml:space="preserve">https://doi.org/10.1186/s40663-018-0139-x</w:t>
        </w:r>
      </w:hyperlink>
    </w:p>
    <w:bookmarkEnd w:id="236"/>
    <w:bookmarkStart w:id="23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37">
        <w:r>
          <w:rPr>
            <w:rStyle w:val="Hyperlink"/>
          </w:rPr>
          <w:t xml:space="preserve">https://doi.org/10.1016/j.dendro.2020.125678</w:t>
        </w:r>
      </w:hyperlink>
    </w:p>
    <w:bookmarkEnd w:id="238"/>
    <w:bookmarkStart w:id="2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39">
        <w:r>
          <w:rPr>
            <w:rStyle w:val="Hyperlink"/>
          </w:rPr>
          <w:t xml:space="preserve">https://doi.org/10.1111/2041-210X.12753</w:t>
        </w:r>
      </w:hyperlink>
    </w:p>
    <w:bookmarkEnd w:id="240"/>
    <w:bookmarkStart w:id="24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41">
        <w:r>
          <w:rPr>
            <w:rStyle w:val="Hyperlink"/>
          </w:rPr>
          <w:t xml:space="preserve">https://doi.org/10.1002/ecy.3264</w:t>
        </w:r>
      </w:hyperlink>
    </w:p>
    <w:bookmarkEnd w:id="242"/>
    <w:bookmarkStart w:id="24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43">
        <w:r>
          <w:rPr>
            <w:rStyle w:val="Hyperlink"/>
          </w:rPr>
          <w:t xml:space="preserve">https://doi.org/10.1111/j.1469-8137.2007.02235.x</w:t>
        </w:r>
      </w:hyperlink>
    </w:p>
    <w:bookmarkEnd w:id="244"/>
    <w:bookmarkStart w:id="24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45">
        <w:r>
          <w:rPr>
            <w:rStyle w:val="Hyperlink"/>
          </w:rPr>
          <w:t xml:space="preserve">https://doi.org/10.1016/j.foreco.2015.08.034</w:t>
        </w:r>
      </w:hyperlink>
    </w:p>
    <w:bookmarkEnd w:id="246"/>
    <w:bookmarkStart w:id="248"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47">
        <w:r>
          <w:rPr>
            <w:rStyle w:val="Hyperlink"/>
          </w:rPr>
          <w:t xml:space="preserve">https://doi.org/10.1186/s40663-018-0133-3</w:t>
        </w:r>
      </w:hyperlink>
    </w:p>
    <w:bookmarkEnd w:id="248"/>
    <w:bookmarkStart w:id="250"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49">
        <w:r>
          <w:rPr>
            <w:rStyle w:val="Hyperlink"/>
          </w:rPr>
          <w:t xml:space="preserve">https://doi.org/10.1111/gcb.14721</w:t>
        </w:r>
      </w:hyperlink>
    </w:p>
    <w:bookmarkEnd w:id="250"/>
    <w:bookmarkStart w:id="25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51">
        <w:r>
          <w:rPr>
            <w:rStyle w:val="Hyperlink"/>
          </w:rPr>
          <w:t xml:space="preserve">https://doi.org/10.1111/1365-2435.12775</w:t>
        </w:r>
      </w:hyperlink>
    </w:p>
    <w:bookmarkEnd w:id="252"/>
    <w:bookmarkStart w:id="25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53">
        <w:r>
          <w:rPr>
            <w:rStyle w:val="Hyperlink"/>
          </w:rPr>
          <w:t xml:space="preserve">https://doi.org/10.1002/2016JG003528</w:t>
        </w:r>
      </w:hyperlink>
    </w:p>
    <w:bookmarkEnd w:id="254"/>
    <w:bookmarkStart w:id="25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55"/>
    <w:bookmarkStart w:id="25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6">
        <w:r>
          <w:rPr>
            <w:rStyle w:val="Hyperlink"/>
          </w:rPr>
          <w:t xml:space="preserve">https://doi.org/10.1038/nature12914</w:t>
        </w:r>
      </w:hyperlink>
    </w:p>
    <w:bookmarkEnd w:id="257"/>
    <w:bookmarkStart w:id="258"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8"/>
    <w:bookmarkStart w:id="26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59">
        <w:r>
          <w:rPr>
            <w:rStyle w:val="Hyperlink"/>
          </w:rPr>
          <w:t xml:space="preserve">https://doi.org/10.1126/science.aaw7578</w:t>
        </w:r>
      </w:hyperlink>
    </w:p>
    <w:bookmarkEnd w:id="260"/>
    <w:bookmarkStart w:id="26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61">
        <w:r>
          <w:rPr>
            <w:rStyle w:val="Hyperlink"/>
          </w:rPr>
          <w:t xml:space="preserve">https://doi.org/10.1088/1748-9326/11/11/114007</w:t>
        </w:r>
      </w:hyperlink>
    </w:p>
    <w:bookmarkEnd w:id="262"/>
    <w:bookmarkStart w:id="264"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63">
        <w:r>
          <w:rPr>
            <w:rStyle w:val="Hyperlink"/>
          </w:rPr>
          <w:t xml:space="preserve">https://doi.org/10.1007/s11258-007-9345-2</w:t>
        </w:r>
      </w:hyperlink>
    </w:p>
    <w:bookmarkEnd w:id="264"/>
    <w:bookmarkStart w:id="266"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65">
        <w:r>
          <w:rPr>
            <w:rStyle w:val="Hyperlink"/>
          </w:rPr>
          <w:t xml:space="preserve">https://doi.org/10.1016/j.scitotenv.2020.140288</w:t>
        </w:r>
      </w:hyperlink>
    </w:p>
    <w:bookmarkEnd w:id="266"/>
    <w:bookmarkStart w:id="26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67">
        <w:r>
          <w:rPr>
            <w:rStyle w:val="Hyperlink"/>
          </w:rPr>
          <w:t xml:space="preserve">https://doi.org/10.1016/j.agrformet.2017.08.007</w:t>
        </w:r>
      </w:hyperlink>
    </w:p>
    <w:bookmarkEnd w:id="268"/>
    <w:bookmarkStart w:id="27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9">
        <w:r>
          <w:rPr>
            <w:rStyle w:val="Hyperlink"/>
          </w:rPr>
          <w:t xml:space="preserve">https://doi.org/10.1111/gcb.14120</w:t>
        </w:r>
      </w:hyperlink>
    </w:p>
    <w:bookmarkEnd w:id="270"/>
    <w:bookmarkStart w:id="272"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71">
        <w:r>
          <w:rPr>
            <w:rStyle w:val="Hyperlink"/>
          </w:rPr>
          <w:t xml:space="preserve">https://doi.org/10.1002/ecm.1272</w:t>
        </w:r>
      </w:hyperlink>
    </w:p>
    <w:bookmarkEnd w:id="272"/>
    <w:bookmarkStart w:id="27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73">
        <w:r>
          <w:rPr>
            <w:rStyle w:val="Hyperlink"/>
          </w:rPr>
          <w:t xml:space="preserve">https://doi.org/10.1007/978-94-007-1242-3_2</w:t>
        </w:r>
      </w:hyperlink>
    </w:p>
    <w:bookmarkEnd w:id="274"/>
    <w:bookmarkStart w:id="27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75">
        <w:r>
          <w:rPr>
            <w:rStyle w:val="Hyperlink"/>
          </w:rPr>
          <w:t xml:space="preserve">https://doi.org/10.5194/cp-9-1481-2013</w:t>
        </w:r>
      </w:hyperlink>
    </w:p>
    <w:bookmarkEnd w:id="276"/>
    <w:bookmarkStart w:id="27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77">
        <w:r>
          <w:rPr>
            <w:rStyle w:val="Hyperlink"/>
          </w:rPr>
          <w:t xml:space="preserve">https://doi.org/10.1002/joc.2117</w:t>
        </w:r>
      </w:hyperlink>
    </w:p>
    <w:bookmarkEnd w:id="278"/>
    <w:bookmarkStart w:id="28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79">
        <w:r>
          <w:rPr>
            <w:rStyle w:val="Hyperlink"/>
          </w:rPr>
          <w:t xml:space="preserve">https://doi.org/10.1007/s00468-018-1767-z</w:t>
        </w:r>
      </w:hyperlink>
    </w:p>
    <w:bookmarkEnd w:id="280"/>
    <w:bookmarkStart w:id="28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81">
        <w:r>
          <w:rPr>
            <w:rStyle w:val="Hyperlink"/>
          </w:rPr>
          <w:t xml:space="preserve">https://doi.org/10.1016/j.agrformet.2017.07.015</w:t>
        </w:r>
      </w:hyperlink>
    </w:p>
    <w:bookmarkEnd w:id="282"/>
    <w:bookmarkStart w:id="28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83">
        <w:r>
          <w:rPr>
            <w:rStyle w:val="Hyperlink"/>
          </w:rPr>
          <w:t xml:space="preserve">https://doi.org/10.1111/2041-210X.12590</w:t>
        </w:r>
      </w:hyperlink>
    </w:p>
    <w:bookmarkEnd w:id="284"/>
    <w:bookmarkStart w:id="28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85">
        <w:r>
          <w:rPr>
            <w:rStyle w:val="Hyperlink"/>
          </w:rPr>
          <w:t xml:space="preserve">https://doi.org/10.1038/ngeo2313</w:t>
        </w:r>
      </w:hyperlink>
    </w:p>
    <w:bookmarkEnd w:id="286"/>
    <w:bookmarkStart w:id="28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87">
        <w:r>
          <w:rPr>
            <w:rStyle w:val="Hyperlink"/>
          </w:rPr>
          <w:t xml:space="preserve">https://doi.org/10.1007/s00442-013-2846-x</w:t>
        </w:r>
      </w:hyperlink>
    </w:p>
    <w:bookmarkEnd w:id="288"/>
    <w:bookmarkStart w:id="29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9">
        <w:r>
          <w:rPr>
            <w:rStyle w:val="Hyperlink"/>
          </w:rPr>
          <w:t xml:space="preserve">https://doi.org/10.1890/0012-9615(2006)076[0549:HCGEDW]2.0.CO;2</w:t>
        </w:r>
      </w:hyperlink>
    </w:p>
    <w:bookmarkEnd w:id="290"/>
    <w:bookmarkStart w:id="29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91">
        <w:r>
          <w:rPr>
            <w:rStyle w:val="Hyperlink"/>
          </w:rPr>
          <w:t xml:space="preserve">https://doi.org/10.1016/j.foreco.2009.03.007</w:t>
        </w:r>
      </w:hyperlink>
    </w:p>
    <w:bookmarkEnd w:id="292"/>
    <w:bookmarkStart w:id="29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93">
        <w:r>
          <w:rPr>
            <w:rStyle w:val="Hyperlink"/>
          </w:rPr>
          <w:t xml:space="preserve">https://doi.org/10.1111/nph.16866</w:t>
        </w:r>
      </w:hyperlink>
    </w:p>
    <w:bookmarkEnd w:id="294"/>
    <w:bookmarkStart w:id="29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95">
        <w:r>
          <w:rPr>
            <w:rStyle w:val="Hyperlink"/>
          </w:rPr>
          <w:t xml:space="preserve">https://doi.org/10.1038/nclimate1693</w:t>
        </w:r>
      </w:hyperlink>
    </w:p>
    <w:bookmarkEnd w:id="296"/>
    <w:bookmarkStart w:id="29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7">
        <w:r>
          <w:rPr>
            <w:rStyle w:val="Hyperlink"/>
          </w:rPr>
          <w:t xml:space="preserve">https://doi.org/10.1111/gcb.15057</w:t>
        </w:r>
      </w:hyperlink>
    </w:p>
    <w:bookmarkEnd w:id="298"/>
    <w:bookmarkStart w:id="30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9">
        <w:r>
          <w:rPr>
            <w:rStyle w:val="Hyperlink"/>
          </w:rPr>
          <w:t xml:space="preserve">https://doi.org/10.1111/j.1467-9868.2010.00749.x</w:t>
        </w:r>
      </w:hyperlink>
    </w:p>
    <w:bookmarkEnd w:id="300"/>
    <w:bookmarkStart w:id="30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301">
        <w:r>
          <w:rPr>
            <w:rStyle w:val="Hyperlink"/>
          </w:rPr>
          <w:t xml:space="preserve">https://doi.org/10.1191/095968399667128516</w:t>
        </w:r>
      </w:hyperlink>
    </w:p>
    <w:bookmarkEnd w:id="302"/>
    <w:bookmarkStart w:id="30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303">
        <w:r>
          <w:rPr>
            <w:rStyle w:val="Hyperlink"/>
          </w:rPr>
          <w:t xml:space="preserve">https://doi.org/10.1016/j.dendro.2012.08.001</w:t>
        </w:r>
      </w:hyperlink>
    </w:p>
    <w:bookmarkEnd w:id="304"/>
    <w:bookmarkStart w:id="30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305">
        <w:r>
          <w:rPr>
            <w:rStyle w:val="Hyperlink"/>
          </w:rPr>
          <w:t xml:space="preserve">https://doi.org/10.1111/ecog.01335</w:t>
        </w:r>
      </w:hyperlink>
    </w:p>
    <w:bookmarkEnd w:id="306"/>
    <w:bookmarkStart w:id="30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7">
        <w:r>
          <w:rPr>
            <w:rStyle w:val="Hyperlink"/>
          </w:rPr>
          <w:t xml:space="preserve">https://doi.org/10.1111/gcb.15092</w:t>
        </w:r>
      </w:hyperlink>
    </w:p>
    <w:bookmarkEnd w:id="308"/>
    <w:bookmarkEnd w:id="309"/>
    <w:bookmarkEnd w:id="31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2021-04-07T12:21:10Z</dcterms:created>
  <dcterms:modified xsi:type="dcterms:W3CDTF">2021-04-07T12:21:10Z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